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857B2" w14:textId="46153703" w:rsidR="000C7317" w:rsidRPr="00CB168F" w:rsidRDefault="000C7317" w:rsidP="000C7317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6D507D" w:rsidRPr="006D507D">
        <w:rPr>
          <w:rFonts w:ascii="Arial" w:hAnsi="Arial" w:cs="Arial"/>
          <w:b/>
          <w:sz w:val="24"/>
          <w:lang w:val="en-US"/>
        </w:rPr>
        <w:t>R5-200318</w:t>
      </w:r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E219A74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D507D" w:rsidRPr="006D507D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67488713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E226A4" w:rsidRPr="00E226A4">
        <w:rPr>
          <w:rFonts w:ascii="Arial" w:hAnsi="Arial" w:cs="Arial"/>
          <w:sz w:val="24"/>
          <w:szCs w:val="24"/>
        </w:rPr>
        <w:t>CDF</w:t>
      </w:r>
      <w:r w:rsidR="00E226A4">
        <w:rPr>
          <w:rFonts w:ascii="Arial" w:hAnsi="Arial" w:cs="Arial"/>
          <w:sz w:val="24"/>
          <w:szCs w:val="24"/>
        </w:rPr>
        <w:t>/PDF</w:t>
      </w:r>
      <w:r w:rsidR="00E226A4" w:rsidRPr="00E226A4">
        <w:rPr>
          <w:rFonts w:ascii="Arial" w:hAnsi="Arial" w:cs="Arial"/>
          <w:sz w:val="24"/>
          <w:szCs w:val="24"/>
        </w:rPr>
        <w:t xml:space="preserve"> Scaling Factor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BACCA00" w14:textId="19D6A6F9" w:rsidR="00FA136F" w:rsidRPr="00F126FB" w:rsidRDefault="00FA136F" w:rsidP="00FA136F">
      <w:pPr>
        <w:rPr>
          <w:rFonts w:cs="Arial"/>
          <w:b/>
          <w:bCs/>
          <w:u w:val="single"/>
        </w:rPr>
      </w:pPr>
      <w:r w:rsidRPr="00F126FB">
        <w:rPr>
          <w:rFonts w:cs="Arial"/>
        </w:rPr>
        <w:t xml:space="preserve">This contribution </w:t>
      </w:r>
      <w:r>
        <w:rPr>
          <w:rFonts w:cs="Arial"/>
        </w:rPr>
        <w:t xml:space="preserve">suggests </w:t>
      </w:r>
      <w:r w:rsidR="008A4026">
        <w:rPr>
          <w:rFonts w:cs="Arial"/>
        </w:rPr>
        <w:t>augmenting</w:t>
      </w:r>
      <w:r>
        <w:rPr>
          <w:rFonts w:cs="Arial"/>
        </w:rPr>
        <w:t xml:space="preserve"> the PDF scaling factor in the test </w:t>
      </w:r>
      <w:r w:rsidR="00CA7C0D">
        <w:rPr>
          <w:rFonts w:cs="Arial"/>
        </w:rPr>
        <w:t>specification</w:t>
      </w:r>
      <w:r>
        <w:rPr>
          <w:rFonts w:cs="Arial"/>
        </w:rPr>
        <w:t xml:space="preserve"> for constant step-size measurement grids to properly calculate the CDF/CCDF for spherical coverage test cases.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bookmarkEnd w:id="2"/>
    <w:p w14:paraId="2316C485" w14:textId="33D6C1AD" w:rsidR="00FA136F" w:rsidRDefault="00FA136F" w:rsidP="00FA136F">
      <w:pPr>
        <w:rPr>
          <w:rFonts w:cs="Arial"/>
        </w:rPr>
      </w:pPr>
      <w:r>
        <w:rPr>
          <w:rFonts w:cs="Arial"/>
        </w:rPr>
        <w:t xml:space="preserve">Currently, the </w:t>
      </w:r>
      <w:r w:rsidR="008B6CD0">
        <w:rPr>
          <w:rFonts w:cs="Arial"/>
        </w:rPr>
        <w:t xml:space="preserve">test specification </w:t>
      </w:r>
      <w:r w:rsidR="008B6CD0">
        <w:rPr>
          <w:rFonts w:cs="Arial"/>
        </w:rPr>
        <w:fldChar w:fldCharType="begin"/>
      </w:r>
      <w:r w:rsidR="008B6CD0">
        <w:rPr>
          <w:rFonts w:cs="Arial"/>
        </w:rPr>
        <w:instrText xml:space="preserve"> REF _Ref30074209 \n \h </w:instrText>
      </w:r>
      <w:r w:rsidR="008B6CD0">
        <w:rPr>
          <w:rFonts w:cs="Arial"/>
        </w:rPr>
      </w:r>
      <w:r w:rsidR="008B6CD0">
        <w:rPr>
          <w:rFonts w:cs="Arial"/>
        </w:rPr>
        <w:fldChar w:fldCharType="separate"/>
      </w:r>
      <w:r w:rsidR="008B6CD0">
        <w:rPr>
          <w:rFonts w:cs="Arial"/>
        </w:rPr>
        <w:t>[1]</w:t>
      </w:r>
      <w:r w:rsidR="008B6CD0">
        <w:rPr>
          <w:rFonts w:cs="Arial"/>
        </w:rPr>
        <w:fldChar w:fldCharType="end"/>
      </w:r>
      <w:r>
        <w:rPr>
          <w:rFonts w:cs="Arial"/>
        </w:rPr>
        <w:t xml:space="preserve"> states that the CDF calculations for constant step size grids require a sin(</w:t>
      </w:r>
      <w:r w:rsidRPr="00032AAD">
        <w:rPr>
          <w:rFonts w:ascii="Symbol" w:hAnsi="Symbol" w:cs="Arial"/>
        </w:rPr>
        <w:t></w:t>
      </w:r>
      <w:r>
        <w:rPr>
          <w:rFonts w:cs="Arial"/>
        </w:rPr>
        <w:t>) scaling of the PDF</w:t>
      </w:r>
    </w:p>
    <w:p w14:paraId="7468FA66" w14:textId="77777777" w:rsidR="008B6CD0" w:rsidRPr="00854822" w:rsidRDefault="008B6CD0" w:rsidP="008B6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6CD0">
        <w:rPr>
          <w:highlight w:val="yellow"/>
        </w:rPr>
        <w:t>The EIRP</w:t>
      </w:r>
      <w:r w:rsidRPr="008B6CD0">
        <w:rPr>
          <w:highlight w:val="yellow"/>
          <w:vertAlign w:val="subscript"/>
        </w:rPr>
        <w:t>target-CDF</w:t>
      </w:r>
      <w:r w:rsidRPr="008B6CD0">
        <w:rPr>
          <w:highlight w:val="yellow"/>
        </w:rPr>
        <w:t xml:space="preserve"> is then obtained from the Cumulative Distribution Function (CDF) computed using maximum(EIRP(Pol</w:t>
      </w:r>
      <w:r w:rsidRPr="008B6CD0">
        <w:rPr>
          <w:highlight w:val="yellow"/>
          <w:vertAlign w:val="subscript"/>
        </w:rPr>
        <w:t>Link</w:t>
      </w:r>
      <w:r w:rsidRPr="008B6CD0">
        <w:rPr>
          <w:highlight w:val="yellow"/>
        </w:rPr>
        <w:t>=</w:t>
      </w:r>
      <w:r w:rsidRPr="008B6CD0">
        <w:rPr>
          <w:rFonts w:ascii="Symbol" w:hAnsi="Symbol"/>
          <w:highlight w:val="yellow"/>
        </w:rPr>
        <w:t></w:t>
      </w:r>
      <w:r w:rsidRPr="008B6CD0">
        <w:rPr>
          <w:highlight w:val="yellow"/>
        </w:rPr>
        <w:t>), EIRP(Pol</w:t>
      </w:r>
      <w:r w:rsidRPr="008B6CD0">
        <w:rPr>
          <w:highlight w:val="yellow"/>
          <w:vertAlign w:val="subscript"/>
        </w:rPr>
        <w:t>Link</w:t>
      </w:r>
      <w:r w:rsidRPr="008B6CD0">
        <w:rPr>
          <w:highlight w:val="yellow"/>
        </w:rPr>
        <w:t>=</w:t>
      </w:r>
      <w:r w:rsidRPr="008B6CD0">
        <w:rPr>
          <w:rFonts w:ascii="Symbol" w:hAnsi="Symbol"/>
          <w:highlight w:val="yellow"/>
        </w:rPr>
        <w:t></w:t>
      </w:r>
      <w:r w:rsidRPr="008B6CD0">
        <w:rPr>
          <w:highlight w:val="yellow"/>
        </w:rPr>
        <w:t>)</w:t>
      </w:r>
      <w:r w:rsidRPr="008B6CD0">
        <w:rPr>
          <w:highlight w:val="yellow"/>
          <w:lang w:eastAsia="ko-KR"/>
        </w:rPr>
        <w:t>)</w:t>
      </w:r>
      <w:r w:rsidRPr="008B6CD0">
        <w:rPr>
          <w:highlight w:val="yellow"/>
        </w:rPr>
        <w:t xml:space="preserve"> for all grid points. When using constant step size measurement grids, a theta-dependent correction shall be applied, i.e., the PDF probability contribution for each measurement point is scaled by sin(θ).</w:t>
      </w:r>
    </w:p>
    <w:p w14:paraId="54311730" w14:textId="79CD000E" w:rsidR="006D7133" w:rsidRDefault="00766414" w:rsidP="006D7133">
      <w:pPr>
        <w:rPr>
          <w:rFonts w:cs="Arial"/>
        </w:rPr>
      </w:pPr>
      <w:r>
        <w:rPr>
          <w:rFonts w:cs="Arial"/>
        </w:rPr>
        <w:t>For the TRP</w:t>
      </w:r>
      <w:r w:rsidR="00133A1A">
        <w:rPr>
          <w:rFonts w:cs="Arial"/>
        </w:rPr>
        <w:t xml:space="preserve">, it </w:t>
      </w:r>
      <w:r w:rsidR="00B40D43">
        <w:rPr>
          <w:rFonts w:cs="Arial"/>
        </w:rPr>
        <w:t>has already be</w:t>
      </w:r>
      <w:r w:rsidR="00133A1A">
        <w:rPr>
          <w:rFonts w:cs="Arial"/>
        </w:rPr>
        <w:t xml:space="preserve"> shown that Clenshaw-Curtis weights yield more accurate results when compared to the classical sin(</w:t>
      </w:r>
      <w:r w:rsidR="00133A1A" w:rsidRPr="00133A1A">
        <w:rPr>
          <w:rFonts w:ascii="Symbol" w:hAnsi="Symbol" w:cs="Arial"/>
        </w:rPr>
        <w:t></w:t>
      </w:r>
      <w:r w:rsidR="00133A1A">
        <w:rPr>
          <w:rFonts w:cs="Arial"/>
        </w:rPr>
        <w:t>) weights, e.g., by not applying a zero weight at the poles</w:t>
      </w:r>
      <w:r w:rsidR="00B40D43">
        <w:rPr>
          <w:rFonts w:cs="Arial"/>
        </w:rPr>
        <w:t xml:space="preserve"> </w:t>
      </w:r>
      <w:r w:rsidR="00B40D43">
        <w:rPr>
          <w:rFonts w:cs="Arial"/>
        </w:rPr>
        <w:fldChar w:fldCharType="begin"/>
      </w:r>
      <w:r w:rsidR="00B40D43">
        <w:rPr>
          <w:rFonts w:cs="Arial"/>
        </w:rPr>
        <w:instrText xml:space="preserve"> REF _Ref30076774 \n \h </w:instrText>
      </w:r>
      <w:r w:rsidR="00B40D43">
        <w:rPr>
          <w:rFonts w:cs="Arial"/>
        </w:rPr>
      </w:r>
      <w:r w:rsidR="00B40D43">
        <w:rPr>
          <w:rFonts w:cs="Arial"/>
        </w:rPr>
        <w:fldChar w:fldCharType="separate"/>
      </w:r>
      <w:r w:rsidR="00B40D43">
        <w:rPr>
          <w:rFonts w:cs="Arial"/>
        </w:rPr>
        <w:t>[2]</w:t>
      </w:r>
      <w:r w:rsidR="00B40D43">
        <w:rPr>
          <w:rFonts w:cs="Arial"/>
        </w:rPr>
        <w:fldChar w:fldCharType="end"/>
      </w:r>
      <w:r w:rsidR="00133A1A">
        <w:rPr>
          <w:rFonts w:cs="Arial"/>
        </w:rPr>
        <w:t>. It therefore</w:t>
      </w:r>
      <w:r w:rsidR="006D7133">
        <w:rPr>
          <w:rFonts w:cs="Arial"/>
        </w:rPr>
        <w:t xml:space="preserve"> seems more appropriate and accurate to apply a scaling factor that is related to the Clenshaw-Curtis weights, W(</w:t>
      </w:r>
      <w:r w:rsidR="006D7133" w:rsidRPr="00276D65">
        <w:rPr>
          <w:rFonts w:ascii="Symbol" w:hAnsi="Symbol" w:cs="Arial"/>
        </w:rPr>
        <w:t></w:t>
      </w:r>
      <w:r w:rsidR="006D7133">
        <w:rPr>
          <w:rFonts w:cs="Arial"/>
        </w:rPr>
        <w:t>)</w:t>
      </w:r>
      <w:r w:rsidR="00133A1A">
        <w:rPr>
          <w:rFonts w:cs="Arial"/>
        </w:rPr>
        <w:t>,</w:t>
      </w:r>
      <w:r w:rsidR="006D7133">
        <w:rPr>
          <w:rFonts w:cs="Arial"/>
        </w:rPr>
        <w:t xml:space="preserve">which has been introduced in Section </w:t>
      </w:r>
      <w:r w:rsidR="00133A1A">
        <w:rPr>
          <w:rFonts w:cs="Arial"/>
        </w:rPr>
        <w:t>M.4.2.1</w:t>
      </w:r>
      <w:r w:rsidR="006D7133">
        <w:rPr>
          <w:rFonts w:cs="Arial"/>
        </w:rPr>
        <w:t xml:space="preserve"> of </w:t>
      </w:r>
      <w:r w:rsidR="00133A1A">
        <w:rPr>
          <w:rFonts w:cs="Arial"/>
        </w:rPr>
        <w:fldChar w:fldCharType="begin"/>
      </w:r>
      <w:r w:rsidR="00133A1A">
        <w:rPr>
          <w:rFonts w:cs="Arial"/>
        </w:rPr>
        <w:instrText xml:space="preserve"> REF _Ref30074209 \n \h </w:instrText>
      </w:r>
      <w:r w:rsidR="00133A1A">
        <w:rPr>
          <w:rFonts w:cs="Arial"/>
        </w:rPr>
      </w:r>
      <w:r w:rsidR="00133A1A">
        <w:rPr>
          <w:rFonts w:cs="Arial"/>
        </w:rPr>
        <w:fldChar w:fldCharType="separate"/>
      </w:r>
      <w:r w:rsidR="00133A1A">
        <w:rPr>
          <w:rFonts w:cs="Arial"/>
        </w:rPr>
        <w:t>[1]</w:t>
      </w:r>
      <w:r w:rsidR="00133A1A">
        <w:rPr>
          <w:rFonts w:cs="Arial"/>
        </w:rPr>
        <w:fldChar w:fldCharType="end"/>
      </w:r>
      <w:r w:rsidR="00133A1A">
        <w:rPr>
          <w:rFonts w:cs="Arial"/>
        </w:rPr>
        <w:t xml:space="preserve"> </w:t>
      </w:r>
      <w:r w:rsidR="006D7133">
        <w:rPr>
          <w:rFonts w:cs="Arial"/>
        </w:rPr>
        <w:t>already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D7133" w14:paraId="33C1B58F" w14:textId="77777777" w:rsidTr="00CC04B7">
        <w:tc>
          <w:tcPr>
            <w:tcW w:w="9350" w:type="dxa"/>
          </w:tcPr>
          <w:p w14:paraId="6C53C5CA" w14:textId="11F6BCF2" w:rsidR="006D7133" w:rsidRPr="00FD2872" w:rsidRDefault="006D7133" w:rsidP="00CC04B7">
            <w:pPr>
              <w:rPr>
                <w:highlight w:val="green"/>
              </w:rPr>
            </w:pPr>
            <w:r>
              <w:t>There is no simple closed-form expression for the Clenshaw-Curtis weights; however, a numerical straightforward approach is available in</w:t>
            </w:r>
            <w:r w:rsidR="00133A1A">
              <w:t>,</w:t>
            </w:r>
            <w:r w:rsidRPr="009C0F07">
              <w:t xml:space="preserve"> i.e., </w:t>
            </w:r>
          </w:p>
          <w:p w14:paraId="64D7D396" w14:textId="77777777" w:rsidR="006D7133" w:rsidRPr="009C0F07" w:rsidRDefault="00791B8A" w:rsidP="00CC04B7">
            <w:pPr>
              <w:kinsoku w:val="0"/>
              <w:overflowPunct w:val="0"/>
              <w:spacing w:before="66"/>
              <w:ind w:left="872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W(θ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)=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j=1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int</m:t>
                        </m:r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cos⁡</m:t>
                        </m:r>
                        <m:r>
                          <w:rPr>
                            <w:rFonts w:ascii="Cambria Math" w:hAnsi="Cambria Math"/>
                          </w:rPr>
                          <m:t>(2j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nary>
                  </m:e>
                </m:d>
              </m:oMath>
            </m:oMathPara>
          </w:p>
          <w:p w14:paraId="29A51AE5" w14:textId="77777777" w:rsidR="006D7133" w:rsidRPr="009C0F07" w:rsidRDefault="006D7133" w:rsidP="00CC04B7">
            <w:pPr>
              <w:pStyle w:val="BodyText"/>
              <w:kinsoku w:val="0"/>
              <w:overflowPunct w:val="0"/>
              <w:spacing w:line="252" w:lineRule="auto"/>
            </w:pPr>
            <w:r w:rsidRPr="009C0F07">
              <w:t>with</w:t>
            </w:r>
          </w:p>
          <w:p w14:paraId="615E28FB" w14:textId="77777777" w:rsidR="006D7133" w:rsidRPr="009C0F07" w:rsidRDefault="00791B8A" w:rsidP="00CC04B7">
            <w:pPr>
              <w:kinsoku w:val="0"/>
              <w:overflowPunct w:val="0"/>
              <w:spacing w:before="66"/>
              <w:ind w:left="872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    </m:t>
                    </m:r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1,  j=n/2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2,  j&lt;n/2</m:t>
                        </m:r>
                      </m:e>
                    </m:eqArr>
                  </m:e>
                </m:d>
              </m:oMath>
            </m:oMathPara>
          </w:p>
          <w:p w14:paraId="4C81ACD0" w14:textId="77777777" w:rsidR="006D7133" w:rsidRPr="009C0F07" w:rsidRDefault="006D7133" w:rsidP="00CC04B7">
            <w:pPr>
              <w:pStyle w:val="BodyText"/>
              <w:kinsoku w:val="0"/>
              <w:overflowPunct w:val="0"/>
              <w:spacing w:line="252" w:lineRule="auto"/>
            </w:pPr>
            <w:r w:rsidRPr="009C0F07">
              <w:t>and</w:t>
            </w:r>
          </w:p>
          <w:p w14:paraId="061020A9" w14:textId="12B8FE39" w:rsidR="006D7133" w:rsidRPr="00133A1A" w:rsidRDefault="00791B8A" w:rsidP="00133A1A">
            <w:pPr>
              <w:kinsoku w:val="0"/>
              <w:overflowPunct w:val="0"/>
              <w:spacing w:before="66"/>
              <w:ind w:left="872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 xml:space="preserve">    1,  i=0 mod N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2,  otherwise</m:t>
                        </m:r>
                      </m:e>
                    </m:eqArr>
                  </m:e>
                </m:d>
              </m:oMath>
            </m:oMathPara>
          </w:p>
        </w:tc>
      </w:tr>
    </w:tbl>
    <w:p w14:paraId="295EF156" w14:textId="06CD0D98" w:rsidR="006D7133" w:rsidRDefault="006D7133" w:rsidP="006D7133">
      <w:pPr>
        <w:rPr>
          <w:rFonts w:cs="Arial"/>
        </w:rPr>
      </w:pPr>
    </w:p>
    <w:p w14:paraId="038F3ABE" w14:textId="7F8B22FB" w:rsidR="00B40D43" w:rsidRDefault="00B40D43" w:rsidP="006D7133">
      <w:pPr>
        <w:rPr>
          <w:rFonts w:cs="Arial"/>
        </w:rPr>
      </w:pPr>
      <w:r>
        <w:rPr>
          <w:rFonts w:cs="Arial"/>
        </w:rPr>
        <w:t>As the measurement uncertainty simulations were performed with the sin(</w:t>
      </w:r>
      <w:r w:rsidRPr="00133A1A">
        <w:rPr>
          <w:rFonts w:ascii="Symbol" w:hAnsi="Symbol" w:cs="Arial"/>
        </w:rPr>
        <w:t></w:t>
      </w:r>
      <w:r>
        <w:rPr>
          <w:rFonts w:cs="Arial"/>
        </w:rPr>
        <w:t>) weights, it is suggested to augment the CDF/PDF scaling with the Clenshaw-Curtis weights for constant step size measurement grids, i.e., allow scaling using either the sin(</w:t>
      </w:r>
      <w:r w:rsidRPr="00133A1A">
        <w:rPr>
          <w:rFonts w:ascii="Symbol" w:hAnsi="Symbol" w:cs="Arial"/>
        </w:rPr>
        <w:t></w:t>
      </w:r>
      <w:r>
        <w:rPr>
          <w:rFonts w:cs="Arial"/>
        </w:rPr>
        <w:t xml:space="preserve">) or Clenshaw-Curtis weights. </w:t>
      </w:r>
    </w:p>
    <w:p w14:paraId="2286D418" w14:textId="6D0A97E8" w:rsidR="00B40D43" w:rsidRDefault="00B40D43" w:rsidP="00B40D43">
      <w:pPr>
        <w:pStyle w:val="Caption"/>
        <w:rPr>
          <w:rFonts w:cs="Arial"/>
        </w:rPr>
      </w:pPr>
      <w:bookmarkStart w:id="4" w:name="_Ref3007718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Augment the CDF/PDF scaling using sin(</w:t>
      </w:r>
      <w:r w:rsidRPr="00B40D43">
        <w:rPr>
          <w:rFonts w:ascii="Symbol" w:hAnsi="Symbol"/>
        </w:rPr>
        <w:t></w:t>
      </w:r>
      <w:r>
        <w:t>) weights with Clenshaw-Curtis weights for constant step size measurement grids.</w:t>
      </w:r>
      <w:bookmarkEnd w:id="4"/>
      <w:r>
        <w:t xml:space="preserve"> </w:t>
      </w:r>
    </w:p>
    <w:p w14:paraId="3A5D4789" w14:textId="77777777" w:rsidR="006D7133" w:rsidRDefault="006D7133" w:rsidP="006D7133">
      <w:pPr>
        <w:rPr>
          <w:rFonts w:cs="Arial"/>
        </w:rPr>
      </w:pPr>
      <w:r>
        <w:rPr>
          <w:rFonts w:cs="Arial"/>
        </w:rPr>
        <w:lastRenderedPageBreak/>
        <w:t>While the quadrature weight for the classical sin(</w:t>
      </w:r>
      <w:r w:rsidRPr="00B30DC7">
        <w:rPr>
          <w:rFonts w:ascii="Symbol" w:hAnsi="Symbol" w:cs="Arial"/>
        </w:rPr>
        <w:t></w:t>
      </w:r>
      <w:r>
        <w:rPr>
          <w:rFonts w:cs="Arial"/>
        </w:rPr>
        <w:t>) quadrature is W</w:t>
      </w:r>
      <w:r w:rsidRPr="00B30DC7">
        <w:rPr>
          <w:rFonts w:cs="Arial"/>
          <w:vertAlign w:val="subscript"/>
        </w:rPr>
        <w:t>sin</w:t>
      </w:r>
      <w:r>
        <w:rPr>
          <w:rFonts w:cs="Arial"/>
        </w:rPr>
        <w:t>(</w:t>
      </w:r>
      <w:r w:rsidRPr="00B30DC7">
        <w:rPr>
          <w:rFonts w:ascii="Symbol" w:hAnsi="Symbol" w:cs="Arial"/>
        </w:rPr>
        <w:t></w:t>
      </w:r>
      <w:r>
        <w:rPr>
          <w:rFonts w:cs="Arial"/>
        </w:rPr>
        <w:t>)=sin(</w:t>
      </w:r>
      <w:r w:rsidRPr="00B30DC7">
        <w:rPr>
          <w:rFonts w:ascii="Symbol" w:hAnsi="Symbol" w:cs="Arial"/>
        </w:rPr>
        <w:t></w:t>
      </w:r>
      <w:r>
        <w:rPr>
          <w:rFonts w:cs="Arial"/>
        </w:rPr>
        <w:t>)*</w:t>
      </w:r>
      <w:r w:rsidRPr="00B30DC7">
        <w:rPr>
          <w:rFonts w:ascii="Symbol" w:hAnsi="Symbol" w:cs="Arial"/>
        </w:rPr>
        <w:t></w:t>
      </w:r>
      <w:r w:rsidRPr="00B30DC7">
        <w:rPr>
          <w:rFonts w:ascii="Symbol" w:hAnsi="Symbol" w:cs="Arial"/>
        </w:rPr>
        <w:t></w:t>
      </w:r>
      <w:r>
        <w:rPr>
          <w:rFonts w:cs="Arial"/>
        </w:rPr>
        <w:t>, one approach to scale the PDFs could be using the W</w:t>
      </w:r>
      <w:r w:rsidRPr="00AE27F1">
        <w:rPr>
          <w:rFonts w:cs="Arial"/>
          <w:vertAlign w:val="subscript"/>
        </w:rPr>
        <w:t>CC</w:t>
      </w:r>
      <w:r>
        <w:rPr>
          <w:rFonts w:cs="Arial"/>
        </w:rPr>
        <w:t>(</w:t>
      </w:r>
      <w:r w:rsidRPr="00AE27F1">
        <w:rPr>
          <w:rFonts w:ascii="Symbol" w:hAnsi="Symbol" w:cs="Arial"/>
        </w:rPr>
        <w:t></w:t>
      </w:r>
      <w:r>
        <w:rPr>
          <w:rFonts w:cs="Arial"/>
        </w:rPr>
        <w:t>)/</w:t>
      </w:r>
      <w:r w:rsidRPr="00AE27F1">
        <w:rPr>
          <w:rFonts w:ascii="Symbol" w:hAnsi="Symbol" w:cs="Arial"/>
        </w:rPr>
        <w:t></w:t>
      </w:r>
      <w:r w:rsidRPr="00AE27F1">
        <w:rPr>
          <w:rFonts w:ascii="Symbol" w:hAnsi="Symbol" w:cs="Arial"/>
        </w:rPr>
        <w:t></w:t>
      </w:r>
      <w:r>
        <w:rPr>
          <w:rFonts w:cs="Arial"/>
        </w:rPr>
        <w:t xml:space="preserve"> term. As outlined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_Ref26536246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cs="Arial"/>
        </w:rPr>
        <w:fldChar w:fldCharType="end"/>
      </w:r>
      <w:r>
        <w:rPr>
          <w:rFonts w:cs="Arial"/>
        </w:rPr>
        <w:t xml:space="preserve">, this approach would yield a scaling value at the equator of slightly greater than 1. In order to keep the scaling factor at </w:t>
      </w:r>
      <w:r w:rsidRPr="00077092">
        <w:rPr>
          <w:rFonts w:ascii="Symbol" w:hAnsi="Symbol"/>
        </w:rPr>
        <w:t></w:t>
      </w:r>
      <w:r>
        <w:t>=90</w:t>
      </w:r>
      <w:r w:rsidRPr="00077092">
        <w:rPr>
          <w:vertAlign w:val="superscript"/>
        </w:rPr>
        <w:t>o</w:t>
      </w:r>
      <w:r>
        <w:t xml:space="preserve"> </w:t>
      </w:r>
      <w:r>
        <w:rPr>
          <w:rFonts w:cs="Arial"/>
        </w:rPr>
        <w:t>to 1, it is instead suggested to scale the PDFs with the W</w:t>
      </w:r>
      <w:r w:rsidRPr="00AE27F1">
        <w:rPr>
          <w:rFonts w:cs="Arial"/>
          <w:vertAlign w:val="subscript"/>
        </w:rPr>
        <w:t>CC</w:t>
      </w:r>
      <w:r>
        <w:rPr>
          <w:rFonts w:cs="Arial"/>
        </w:rPr>
        <w:t>(</w:t>
      </w:r>
      <w:r w:rsidRPr="00AE27F1">
        <w:rPr>
          <w:rFonts w:ascii="Symbol" w:hAnsi="Symbol" w:cs="Arial"/>
        </w:rPr>
        <w:t></w:t>
      </w:r>
      <w:r>
        <w:rPr>
          <w:rFonts w:cs="Arial"/>
        </w:rPr>
        <w:t>)/W</w:t>
      </w:r>
      <w:r w:rsidRPr="00AE27F1">
        <w:rPr>
          <w:rFonts w:cs="Arial"/>
          <w:vertAlign w:val="subscript"/>
        </w:rPr>
        <w:t>CC</w:t>
      </w:r>
      <w:r>
        <w:rPr>
          <w:rFonts w:cs="Arial"/>
        </w:rPr>
        <w:t>(</w:t>
      </w:r>
      <w:r w:rsidRPr="00782228">
        <w:rPr>
          <w:rFonts w:cs="Arial"/>
        </w:rPr>
        <w:t>90</w:t>
      </w:r>
      <w:r>
        <w:rPr>
          <w:rFonts w:cs="Arial"/>
        </w:rPr>
        <w:t xml:space="preserve">) term which yields a value of 1 at </w:t>
      </w:r>
      <w:r w:rsidRPr="00077092">
        <w:rPr>
          <w:rFonts w:ascii="Symbol" w:hAnsi="Symbol"/>
        </w:rPr>
        <w:t></w:t>
      </w:r>
      <w:r>
        <w:t>=90</w:t>
      </w:r>
      <w:r w:rsidRPr="00077092">
        <w:rPr>
          <w:vertAlign w:val="superscript"/>
        </w:rPr>
        <w:t>o</w:t>
      </w:r>
      <w:r w:rsidRPr="00F3523A">
        <w:t>.</w:t>
      </w:r>
      <w:r>
        <w:rPr>
          <w:vertAlign w:val="superscript"/>
        </w:rPr>
        <w:t xml:space="preserve"> </w:t>
      </w:r>
    </w:p>
    <w:p w14:paraId="12162815" w14:textId="77777777" w:rsidR="006D7133" w:rsidRDefault="006D7133" w:rsidP="00B40D43">
      <w:pPr>
        <w:pStyle w:val="Caption"/>
        <w:jc w:val="center"/>
        <w:rPr>
          <w:rFonts w:cs="Arial"/>
        </w:rPr>
      </w:pPr>
      <w:bookmarkStart w:id="5" w:name="_Ref265362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: Comparison of different scaling terms (for a constant step size grid with </w:t>
      </w:r>
      <w:r w:rsidRPr="00077092">
        <w:rPr>
          <w:rFonts w:ascii="Symbol" w:hAnsi="Symbol"/>
        </w:rPr>
        <w:t></w:t>
      </w:r>
      <w:r w:rsidRPr="00077092">
        <w:rPr>
          <w:rFonts w:ascii="Symbol" w:hAnsi="Symbol"/>
        </w:rPr>
        <w:t></w:t>
      </w:r>
      <w:r>
        <w:t>=15</w:t>
      </w:r>
      <w:r w:rsidRPr="00077092">
        <w:rPr>
          <w:vertAlign w:val="superscript"/>
        </w:rPr>
        <w:t>o</w:t>
      </w:r>
      <w:r>
        <w:t xml:space="preserve"> step size</w:t>
      </w:r>
    </w:p>
    <w:tbl>
      <w:tblPr>
        <w:tblW w:w="5096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1160"/>
        <w:gridCol w:w="2016"/>
      </w:tblGrid>
      <w:tr w:rsidR="006D7133" w:rsidRPr="00B30DC7" w14:paraId="4B252EA2" w14:textId="77777777" w:rsidTr="00CC04B7">
        <w:trPr>
          <w:trHeight w:val="33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6F1D" w14:textId="77777777" w:rsidR="006D7133" w:rsidRPr="00B30DC7" w:rsidRDefault="006D7133" w:rsidP="00CC04B7">
            <w:pPr>
              <w:jc w:val="center"/>
              <w:rPr>
                <w:rFonts w:ascii="Symbol" w:hAnsi="Symbol" w:cs="Calibri"/>
                <w:b/>
                <w:bCs/>
                <w:color w:val="000000"/>
                <w:sz w:val="22"/>
                <w:szCs w:val="22"/>
              </w:rPr>
            </w:pPr>
            <w:r w:rsidRPr="00B30DC7">
              <w:rPr>
                <w:rFonts w:ascii="Symbol" w:hAnsi="Symbol" w:cs="Calibri"/>
                <w:b/>
                <w:bCs/>
                <w:color w:val="000000"/>
                <w:sz w:val="22"/>
                <w:szCs w:val="22"/>
              </w:rPr>
              <w:t>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A24C" w14:textId="77777777" w:rsidR="006D7133" w:rsidRPr="00B30DC7" w:rsidRDefault="006D7133" w:rsidP="00CC04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sin(</w:t>
            </w:r>
            <w:r w:rsidRPr="00B30DC7">
              <w:rPr>
                <w:rFonts w:ascii="Symbol" w:hAnsi="Symbol" w:cs="Calibri"/>
                <w:b/>
                <w:bCs/>
                <w:color w:val="000000"/>
                <w:sz w:val="22"/>
                <w:szCs w:val="22"/>
              </w:rPr>
              <w:t>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13B3" w14:textId="77777777" w:rsidR="006D7133" w:rsidRPr="00B30DC7" w:rsidRDefault="006D7133" w:rsidP="00CC04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</w:rPr>
              <w:t>CC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30DC7">
              <w:rPr>
                <w:rFonts w:ascii="Symbol" w:hAnsi="Symbol" w:cs="Calibri"/>
                <w:b/>
                <w:bCs/>
                <w:color w:val="000000"/>
                <w:sz w:val="22"/>
                <w:szCs w:val="22"/>
              </w:rPr>
              <w:t>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)/</w:t>
            </w:r>
            <w:r w:rsidRPr="00B30DC7">
              <w:rPr>
                <w:rFonts w:ascii="Symbol" w:hAnsi="Symbol" w:cs="Calibri"/>
                <w:b/>
                <w:bCs/>
                <w:color w:val="000000"/>
                <w:sz w:val="22"/>
                <w:szCs w:val="22"/>
              </w:rPr>
              <w:t></w:t>
            </w:r>
            <w:r w:rsidRPr="00B30DC7">
              <w:rPr>
                <w:rFonts w:ascii="Symbol" w:hAnsi="Symbol" w:cs="Calibri"/>
                <w:b/>
                <w:bCs/>
                <w:color w:val="000000"/>
                <w:sz w:val="22"/>
                <w:szCs w:val="22"/>
              </w:rPr>
              <w:t>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AEEB" w14:textId="77777777" w:rsidR="006D7133" w:rsidRPr="00B30DC7" w:rsidRDefault="006D7133" w:rsidP="00CC04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</w:rPr>
              <w:t>CC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30DC7">
              <w:rPr>
                <w:rFonts w:ascii="Symbol" w:hAnsi="Symbol" w:cs="Calibri"/>
                <w:b/>
                <w:bCs/>
                <w:color w:val="000000"/>
                <w:sz w:val="22"/>
                <w:szCs w:val="22"/>
              </w:rPr>
              <w:t>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)/W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</w:rPr>
              <w:t>CC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30DC7">
              <w:rPr>
                <w:rFonts w:ascii="Symbol" w:hAnsi="Symbol" w:cs="Calibri"/>
                <w:b/>
                <w:bCs/>
                <w:color w:val="000000"/>
                <w:sz w:val="22"/>
                <w:szCs w:val="22"/>
              </w:rPr>
              <w:t>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=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90</w:t>
            </w:r>
            <w:r w:rsidRPr="005277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perscript"/>
              </w:rPr>
              <w:t>o</w:t>
            </w:r>
            <w:r w:rsidRPr="00B30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D7133" w:rsidRPr="00B30DC7" w14:paraId="171F3A94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DEB5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A82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0D38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0.0267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1AA1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0.0267</w:t>
            </w:r>
          </w:p>
        </w:tc>
      </w:tr>
      <w:tr w:rsidR="006D7133" w:rsidRPr="00B30DC7" w14:paraId="04DB64E6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FA10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F76E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0.2588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F29C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0.2523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EE44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0.2523</w:t>
            </w:r>
          </w:p>
        </w:tc>
      </w:tr>
      <w:tr w:rsidR="006D7133" w:rsidRPr="00B30DC7" w14:paraId="7CE291CE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8CE1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93AB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EAB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0.5025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BE3A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0.5019</w:t>
            </w:r>
          </w:p>
        </w:tc>
      </w:tr>
      <w:tr w:rsidR="006D7133" w:rsidRPr="00B30DC7" w14:paraId="704EBBBC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8AC4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4FA6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0.7071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49A5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0.7057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4847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0.7053</w:t>
            </w:r>
          </w:p>
        </w:tc>
      </w:tr>
      <w:tr w:rsidR="006D7133" w:rsidRPr="00B30DC7" w14:paraId="3F0DAD96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0360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38E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0.866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537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0.8670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4DB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0.8664</w:t>
            </w:r>
          </w:p>
        </w:tc>
      </w:tr>
      <w:tr w:rsidR="006D7133" w:rsidRPr="00B30DC7" w14:paraId="7ED676E3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1A01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48EA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0.9659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52DD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0.9652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B1F2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0.9645</w:t>
            </w:r>
          </w:p>
        </w:tc>
      </w:tr>
      <w:tr w:rsidR="006D7133" w:rsidRPr="00B30DC7" w14:paraId="212C9C58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EAD7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DDB2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DA37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1.0007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6730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1.0000</w:t>
            </w:r>
          </w:p>
        </w:tc>
      </w:tr>
      <w:tr w:rsidR="006D7133" w:rsidRPr="00B30DC7" w14:paraId="57313494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91D8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D5F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0.9659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D93E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0.9652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1F50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0.9645</w:t>
            </w:r>
          </w:p>
        </w:tc>
      </w:tr>
      <w:tr w:rsidR="006D7133" w:rsidRPr="00B30DC7" w14:paraId="07EFE4D7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ED8E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279E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0.866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B9BA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0.8670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12E7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0.8664</w:t>
            </w:r>
          </w:p>
        </w:tc>
      </w:tr>
      <w:tr w:rsidR="006D7133" w:rsidRPr="00B30DC7" w14:paraId="41832BB8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B312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7E67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0.7071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E620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0.7057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0FA5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0.7053</w:t>
            </w:r>
          </w:p>
        </w:tc>
      </w:tr>
      <w:tr w:rsidR="006D7133" w:rsidRPr="00B30DC7" w14:paraId="0D82F50A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1892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7400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1178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0.5025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10E6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0.5019</w:t>
            </w:r>
          </w:p>
        </w:tc>
      </w:tr>
      <w:tr w:rsidR="006D7133" w:rsidRPr="00B30DC7" w14:paraId="05B9BCCA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3DEC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76E7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0.2588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529D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0.2523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0A94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0.2523</w:t>
            </w:r>
          </w:p>
        </w:tc>
      </w:tr>
      <w:tr w:rsidR="006D7133" w:rsidRPr="00B30DC7" w14:paraId="12098CEC" w14:textId="77777777" w:rsidTr="00CC04B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4FF3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EA74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416D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0.0267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D1E8" w14:textId="77777777" w:rsidR="006D7133" w:rsidRPr="00B40D43" w:rsidRDefault="006D7133" w:rsidP="00CC04B7">
            <w:pPr>
              <w:jc w:val="center"/>
              <w:rPr>
                <w:color w:val="000000"/>
                <w:sz w:val="22"/>
                <w:szCs w:val="22"/>
              </w:rPr>
            </w:pPr>
            <w:r w:rsidRPr="00B40D43">
              <w:rPr>
                <w:color w:val="000000"/>
                <w:sz w:val="22"/>
                <w:szCs w:val="22"/>
              </w:rPr>
              <w:t>0.0267</w:t>
            </w:r>
          </w:p>
        </w:tc>
      </w:tr>
    </w:tbl>
    <w:p w14:paraId="136FF2D5" w14:textId="77777777" w:rsidR="006D7133" w:rsidRDefault="006D7133" w:rsidP="006D7133">
      <w:pPr>
        <w:rPr>
          <w:rFonts w:cs="Arial"/>
        </w:rPr>
      </w:pPr>
    </w:p>
    <w:p w14:paraId="12C1B013" w14:textId="395F3330" w:rsidR="006D7133" w:rsidRDefault="006D7133" w:rsidP="006D7133">
      <w:pPr>
        <w:pStyle w:val="Caption"/>
        <w:rPr>
          <w:rFonts w:cs="Arial"/>
        </w:rPr>
      </w:pPr>
      <w:bookmarkStart w:id="6" w:name="_Ref22812716"/>
      <w:bookmarkStart w:id="7" w:name="_Ref26537260"/>
      <w:bookmarkStart w:id="8" w:name="_Ref3007718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40D43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="00B40D43">
        <w:t>Augment</w:t>
      </w:r>
      <w:r>
        <w:t xml:space="preserve"> the sin(</w:t>
      </w:r>
      <w:r w:rsidRPr="00844103">
        <w:rPr>
          <w:rFonts w:ascii="Symbol" w:hAnsi="Symbol"/>
        </w:rPr>
        <w:t></w:t>
      </w:r>
      <w:r>
        <w:t xml:space="preserve">) </w:t>
      </w:r>
      <w:r w:rsidR="00B40D43">
        <w:t>weights</w:t>
      </w:r>
      <w:r>
        <w:t xml:space="preserve"> the PDFs need to be scaled by with </w:t>
      </w:r>
      <w:bookmarkEnd w:id="6"/>
      <w:r>
        <w:t xml:space="preserve">the </w:t>
      </w:r>
      <w:r>
        <w:rPr>
          <w:rFonts w:cs="Arial"/>
        </w:rPr>
        <w:t>W</w:t>
      </w:r>
      <w:r w:rsidRPr="00AE27F1">
        <w:rPr>
          <w:rFonts w:cs="Arial"/>
          <w:vertAlign w:val="subscript"/>
        </w:rPr>
        <w:t>CC</w:t>
      </w:r>
      <w:r>
        <w:rPr>
          <w:rFonts w:cs="Arial"/>
        </w:rPr>
        <w:t>(</w:t>
      </w:r>
      <w:r w:rsidRPr="00AE27F1">
        <w:rPr>
          <w:rFonts w:ascii="Symbol" w:hAnsi="Symbol" w:cs="Arial"/>
        </w:rPr>
        <w:t></w:t>
      </w:r>
      <w:r>
        <w:rPr>
          <w:rFonts w:cs="Arial"/>
        </w:rPr>
        <w:t>)/W</w:t>
      </w:r>
      <w:r w:rsidRPr="00AE27F1">
        <w:rPr>
          <w:rFonts w:cs="Arial"/>
          <w:vertAlign w:val="subscript"/>
        </w:rPr>
        <w:t>CC</w:t>
      </w:r>
      <w:r>
        <w:rPr>
          <w:rFonts w:cs="Arial"/>
        </w:rPr>
        <w:t>(</w:t>
      </w:r>
      <w:r w:rsidRPr="00782228">
        <w:rPr>
          <w:rFonts w:cs="Arial"/>
        </w:rPr>
        <w:t>90</w:t>
      </w:r>
      <w:r w:rsidR="00B40D43" w:rsidRPr="00B40D43">
        <w:rPr>
          <w:rFonts w:cs="Arial"/>
          <w:vertAlign w:val="superscript"/>
        </w:rPr>
        <w:t>o</w:t>
      </w:r>
      <w:r>
        <w:rPr>
          <w:rFonts w:cs="Arial"/>
        </w:rPr>
        <w:t xml:space="preserve">) </w:t>
      </w:r>
      <w:bookmarkEnd w:id="7"/>
      <w:r w:rsidR="00B40D43">
        <w:rPr>
          <w:rFonts w:cs="Arial"/>
        </w:rPr>
        <w:t>weights for constant step size grids.</w:t>
      </w:r>
      <w:bookmarkEnd w:id="8"/>
      <w:r w:rsidR="00B40D43">
        <w:rPr>
          <w:rFonts w:cs="Arial"/>
        </w:rPr>
        <w:t xml:space="preserve"> </w:t>
      </w:r>
    </w:p>
    <w:p w14:paraId="143B962D" w14:textId="252227F4" w:rsidR="00791B8A" w:rsidRPr="00791B8A" w:rsidRDefault="00791B8A" w:rsidP="00791B8A">
      <w:r>
        <w:t xml:space="preserve">A CR implementing this proposed approach is in </w:t>
      </w:r>
      <w:r>
        <w:fldChar w:fldCharType="begin"/>
      </w:r>
      <w:r>
        <w:instrText xml:space="preserve"> REF _Ref32299490 \r \h </w:instrText>
      </w:r>
      <w:r>
        <w:fldChar w:fldCharType="separate"/>
      </w:r>
      <w:r>
        <w:t>[3]</w:t>
      </w:r>
      <w:r>
        <w:fldChar w:fldCharType="end"/>
      </w:r>
      <w:bookmarkStart w:id="9" w:name="_GoBack"/>
      <w:bookmarkEnd w:id="9"/>
    </w:p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5624F5B1" w:rsidR="008B0529" w:rsidRDefault="0053435C" w:rsidP="008B0529">
      <w:r>
        <w:t>The following observations and proposals were made in this contribution</w:t>
      </w:r>
    </w:p>
    <w:p w14:paraId="62F27345" w14:textId="691DD3DB" w:rsidR="00B40D43" w:rsidRPr="00B40D43" w:rsidRDefault="00B40D43" w:rsidP="008B0529">
      <w:pPr>
        <w:rPr>
          <w:b/>
        </w:rPr>
      </w:pPr>
      <w:r w:rsidRPr="00B40D43">
        <w:rPr>
          <w:b/>
        </w:rPr>
        <w:fldChar w:fldCharType="begin"/>
      </w:r>
      <w:r w:rsidRPr="00B40D43">
        <w:rPr>
          <w:b/>
        </w:rPr>
        <w:instrText xml:space="preserve"> REF _Ref30077182 \h </w:instrText>
      </w:r>
      <w:r>
        <w:rPr>
          <w:b/>
        </w:rPr>
        <w:instrText xml:space="preserve"> \* MERGEFORMAT </w:instrText>
      </w:r>
      <w:r w:rsidRPr="00B40D43">
        <w:rPr>
          <w:b/>
        </w:rPr>
      </w:r>
      <w:r w:rsidRPr="00B40D43">
        <w:rPr>
          <w:b/>
        </w:rPr>
        <w:fldChar w:fldCharType="separate"/>
      </w:r>
      <w:r w:rsidRPr="00B40D43">
        <w:rPr>
          <w:b/>
        </w:rPr>
        <w:t xml:space="preserve">Proposal </w:t>
      </w:r>
      <w:r w:rsidRPr="00B40D43">
        <w:rPr>
          <w:b/>
          <w:noProof/>
        </w:rPr>
        <w:t>1</w:t>
      </w:r>
      <w:r w:rsidRPr="00B40D43">
        <w:rPr>
          <w:b/>
        </w:rPr>
        <w:t>: Augment the CDF/PDF scaling using sin(</w:t>
      </w:r>
      <w:r w:rsidRPr="00B40D43">
        <w:rPr>
          <w:rFonts w:ascii="Symbol" w:hAnsi="Symbol"/>
          <w:b/>
        </w:rPr>
        <w:t>q</w:t>
      </w:r>
      <w:r w:rsidRPr="00B40D43">
        <w:rPr>
          <w:b/>
        </w:rPr>
        <w:t>) weights with Clenshaw-Curtis weights for constant step size measurement grids.</w:t>
      </w:r>
      <w:r w:rsidRPr="00B40D43">
        <w:rPr>
          <w:b/>
        </w:rPr>
        <w:fldChar w:fldCharType="end"/>
      </w:r>
    </w:p>
    <w:p w14:paraId="01D992E6" w14:textId="0A6DE70C" w:rsidR="00B40D43" w:rsidRPr="00B40D43" w:rsidRDefault="00B40D43" w:rsidP="008B0529">
      <w:pPr>
        <w:rPr>
          <w:b/>
        </w:rPr>
      </w:pPr>
      <w:r w:rsidRPr="00B40D43">
        <w:rPr>
          <w:b/>
        </w:rPr>
        <w:fldChar w:fldCharType="begin"/>
      </w:r>
      <w:r w:rsidRPr="00B40D43">
        <w:rPr>
          <w:b/>
        </w:rPr>
        <w:instrText xml:space="preserve"> REF _Ref30077186 \h </w:instrText>
      </w:r>
      <w:r>
        <w:rPr>
          <w:b/>
        </w:rPr>
        <w:instrText xml:space="preserve"> \* MERGEFORMAT </w:instrText>
      </w:r>
      <w:r w:rsidRPr="00B40D43">
        <w:rPr>
          <w:b/>
        </w:rPr>
      </w:r>
      <w:r w:rsidRPr="00B40D43">
        <w:rPr>
          <w:b/>
        </w:rPr>
        <w:fldChar w:fldCharType="separate"/>
      </w:r>
      <w:r w:rsidR="00B72B8C" w:rsidRPr="00B72B8C">
        <w:rPr>
          <w:b/>
        </w:rPr>
        <w:t xml:space="preserve">Proposal </w:t>
      </w:r>
      <w:r w:rsidR="00B72B8C" w:rsidRPr="00B72B8C">
        <w:rPr>
          <w:b/>
          <w:noProof/>
        </w:rPr>
        <w:t>2</w:t>
      </w:r>
      <w:r w:rsidR="00B72B8C" w:rsidRPr="00B72B8C">
        <w:rPr>
          <w:b/>
        </w:rPr>
        <w:t>: Augment the sin(</w:t>
      </w:r>
      <w:r w:rsidR="00B72B8C" w:rsidRPr="00B72B8C">
        <w:rPr>
          <w:rFonts w:ascii="Symbol" w:hAnsi="Symbol"/>
          <w:b/>
        </w:rPr>
        <w:t></w:t>
      </w:r>
      <w:r w:rsidR="00B72B8C" w:rsidRPr="00B72B8C">
        <w:rPr>
          <w:b/>
        </w:rPr>
        <w:t xml:space="preserve">) weights the PDFs need to be scaled by with the </w:t>
      </w:r>
      <w:r w:rsidR="00B72B8C" w:rsidRPr="00B72B8C">
        <w:rPr>
          <w:rFonts w:cs="Arial"/>
          <w:b/>
        </w:rPr>
        <w:t>WCC(</w:t>
      </w:r>
      <w:r w:rsidR="00B72B8C" w:rsidRPr="00B72B8C">
        <w:rPr>
          <w:rFonts w:ascii="Symbol" w:hAnsi="Symbol" w:cs="Arial"/>
          <w:b/>
        </w:rPr>
        <w:t></w:t>
      </w:r>
      <w:r w:rsidR="00B72B8C" w:rsidRPr="00B72B8C">
        <w:rPr>
          <w:rFonts w:cs="Arial"/>
          <w:b/>
        </w:rPr>
        <w:t>)/WCC(90</w:t>
      </w:r>
      <w:r w:rsidR="00B72B8C" w:rsidRPr="00B72B8C">
        <w:rPr>
          <w:rFonts w:cs="Arial"/>
          <w:b/>
          <w:vertAlign w:val="superscript"/>
        </w:rPr>
        <w:t>o</w:t>
      </w:r>
      <w:r w:rsidR="00B72B8C" w:rsidRPr="00B72B8C">
        <w:rPr>
          <w:rFonts w:cs="Arial"/>
          <w:b/>
        </w:rPr>
        <w:t>) weights for constant step size grids.</w:t>
      </w:r>
      <w:r w:rsidRPr="00B40D43">
        <w:rPr>
          <w:b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D9D6E78" w14:textId="77777777" w:rsidR="008B6CD0" w:rsidRPr="008B6CD0" w:rsidRDefault="008B6CD0" w:rsidP="008B6CD0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0" w:name="_Ref30074209"/>
      <w:r w:rsidRPr="008B6CD0">
        <w:rPr>
          <w:rFonts w:ascii="Times New Roman" w:eastAsia="Malgun Gothic" w:hAnsi="Times New Roman"/>
          <w:sz w:val="20"/>
          <w:szCs w:val="20"/>
          <w:lang w:val="en-GB"/>
        </w:rPr>
        <w:t>TS 38.521-2, User Equipment (UE) conformance specification; Radio transmission and reception; Part 2: Range 2 Standalone, V16.20 (2019-12)</w:t>
      </w:r>
      <w:bookmarkEnd w:id="10"/>
    </w:p>
    <w:p w14:paraId="35952393" w14:textId="7BADA6CE" w:rsidR="000547AB" w:rsidRDefault="00133A1A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30076774"/>
      <w:r w:rsidRPr="00133A1A">
        <w:t>R4-1811091</w:t>
      </w:r>
      <w:r>
        <w:t xml:space="preserve">, </w:t>
      </w:r>
      <w:r w:rsidRPr="00133A1A">
        <w:t>On TRP Measurement Grids for mm-wave using Clenshaw-Curtis Weights</w:t>
      </w:r>
      <w:r>
        <w:t xml:space="preserve">, Keysight Technologies, </w:t>
      </w:r>
      <w:r w:rsidRPr="00133A1A">
        <w:t>3GPP TSG-RAN WG4 Meeting #88</w:t>
      </w:r>
      <w:r>
        <w:t>, August 2018</w:t>
      </w:r>
      <w:bookmarkEnd w:id="11"/>
    </w:p>
    <w:p w14:paraId="4FE51476" w14:textId="68A86AFE" w:rsidR="00791B8A" w:rsidRPr="00052390" w:rsidRDefault="00791B8A" w:rsidP="00791B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32299490"/>
      <w:r w:rsidRPr="00791B8A">
        <w:lastRenderedPageBreak/>
        <w:t>R5-200319</w:t>
      </w:r>
      <w:r>
        <w:t xml:space="preserve">, </w:t>
      </w:r>
      <w:r w:rsidRPr="00791B8A">
        <w:t>CR to 38.521-2 on CDF/PDF Scaling Factor</w:t>
      </w:r>
      <w:r>
        <w:t xml:space="preserve">, Keysight Technologies, </w:t>
      </w:r>
      <w:r w:rsidRPr="00791B8A">
        <w:t>3GPP TSG-RAN5 Meeting #86-e</w:t>
      </w:r>
      <w:r>
        <w:t xml:space="preserve">, </w:t>
      </w:r>
      <w:r>
        <w:t>February 2020</w:t>
      </w:r>
      <w:bookmarkEnd w:id="12"/>
    </w:p>
    <w:sectPr w:rsidR="00791B8A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3C242" w14:textId="77777777" w:rsidR="006B0DE1" w:rsidRDefault="006B0DE1">
      <w:r>
        <w:separator/>
      </w:r>
    </w:p>
  </w:endnote>
  <w:endnote w:type="continuationSeparator" w:id="0">
    <w:p w14:paraId="09E95BC2" w14:textId="77777777" w:rsidR="006B0DE1" w:rsidRDefault="006B0DE1">
      <w:r>
        <w:continuationSeparator/>
      </w:r>
    </w:p>
  </w:endnote>
  <w:endnote w:type="continuationNotice" w:id="1">
    <w:p w14:paraId="1FDB7F25" w14:textId="77777777" w:rsidR="006B0DE1" w:rsidRDefault="006B0D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731F1" w14:textId="77777777" w:rsidR="006B0DE1" w:rsidRDefault="006B0DE1">
      <w:r>
        <w:separator/>
      </w:r>
    </w:p>
  </w:footnote>
  <w:footnote w:type="continuationSeparator" w:id="0">
    <w:p w14:paraId="29BB34B3" w14:textId="77777777" w:rsidR="006B0DE1" w:rsidRDefault="006B0DE1">
      <w:r>
        <w:continuationSeparator/>
      </w:r>
    </w:p>
  </w:footnote>
  <w:footnote w:type="continuationNotice" w:id="1">
    <w:p w14:paraId="1C4F6212" w14:textId="77777777" w:rsidR="006B0DE1" w:rsidRDefault="006B0D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C7317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33A1A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0DE1"/>
    <w:rsid w:val="006B1C2F"/>
    <w:rsid w:val="006B363D"/>
    <w:rsid w:val="006B39EF"/>
    <w:rsid w:val="006C3A94"/>
    <w:rsid w:val="006D132D"/>
    <w:rsid w:val="006D507D"/>
    <w:rsid w:val="006D6B1F"/>
    <w:rsid w:val="006D7133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66414"/>
    <w:rsid w:val="00770A12"/>
    <w:rsid w:val="00774B17"/>
    <w:rsid w:val="007756A1"/>
    <w:rsid w:val="0078088D"/>
    <w:rsid w:val="00785759"/>
    <w:rsid w:val="00785D03"/>
    <w:rsid w:val="00791B8A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4026"/>
    <w:rsid w:val="008A6143"/>
    <w:rsid w:val="008B0529"/>
    <w:rsid w:val="008B5C74"/>
    <w:rsid w:val="008B6CD0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0D43"/>
    <w:rsid w:val="00B426E8"/>
    <w:rsid w:val="00B42B91"/>
    <w:rsid w:val="00B478AC"/>
    <w:rsid w:val="00B55D9A"/>
    <w:rsid w:val="00B5661F"/>
    <w:rsid w:val="00B6099D"/>
    <w:rsid w:val="00B62514"/>
    <w:rsid w:val="00B65101"/>
    <w:rsid w:val="00B72B8C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A7C0D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26A4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136F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purl.org/dc/elements/1.1/"/>
    <ds:schemaRef ds:uri="http://schemas.openxmlformats.org/package/2006/metadata/core-properties"/>
    <ds:schemaRef ds:uri="http://purl.org/dc/terms/"/>
    <ds:schemaRef ds:uri="878f5c59-aec9-459c-acf8-8cf941473193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bdd78157-346c-4767-bfdd-352789a5c5f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87AE6-52D1-42BE-8A14-702E54C5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554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15</cp:revision>
  <dcterms:created xsi:type="dcterms:W3CDTF">2019-06-30T20:45:00Z</dcterms:created>
  <dcterms:modified xsi:type="dcterms:W3CDTF">2020-02-11T15:44:00Z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